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37C" w:rsidRPr="00FF52CA" w:rsidRDefault="0076737C" w:rsidP="0076737C">
      <w:pPr>
        <w:rPr>
          <w:b/>
          <w:sz w:val="28"/>
          <w:szCs w:val="28"/>
        </w:rPr>
      </w:pPr>
      <w:r w:rsidRPr="0076737C">
        <w:rPr>
          <w:b/>
          <w:sz w:val="28"/>
          <w:szCs w:val="28"/>
        </w:rPr>
        <w:t xml:space="preserve">Die Chemie der Nahrungsergänzungsmittel im Sport als ein relevantes Thema für den Chemieunterricht </w:t>
      </w:r>
      <w:r>
        <w:rPr>
          <w:b/>
          <w:sz w:val="28"/>
          <w:szCs w:val="28"/>
        </w:rPr>
        <w:t>– Online-Ergänzungsmaterial</w:t>
      </w:r>
    </w:p>
    <w:p w:rsidR="0076737C" w:rsidRDefault="0076737C" w:rsidP="0076737C">
      <w:r>
        <w:t xml:space="preserve">Dr. </w:t>
      </w:r>
      <w:r w:rsidRPr="0076737C">
        <w:t>Philipp Spitzer</w:t>
      </w:r>
    </w:p>
    <w:p w:rsidR="00154FF9" w:rsidRDefault="00154FF9" w:rsidP="00B23262">
      <w:pPr>
        <w:jc w:val="both"/>
      </w:pPr>
    </w:p>
    <w:p w:rsidR="0076737C" w:rsidRPr="00670F80" w:rsidRDefault="0076737C" w:rsidP="0076737C">
      <w:pPr>
        <w:rPr>
          <w:b/>
          <w:sz w:val="28"/>
          <w:szCs w:val="28"/>
        </w:rPr>
      </w:pPr>
      <w:bookmarkStart w:id="0" w:name="_GoBack"/>
      <w:bookmarkEnd w:id="0"/>
      <w:r w:rsidRPr="0076737C">
        <w:rPr>
          <w:b/>
          <w:sz w:val="28"/>
          <w:szCs w:val="28"/>
        </w:rPr>
        <w:t xml:space="preserve">Qualitativer Proteinnachweis mit Hilfe der </w:t>
      </w:r>
      <w:proofErr w:type="spellStart"/>
      <w:r w:rsidRPr="0076737C">
        <w:rPr>
          <w:b/>
          <w:sz w:val="28"/>
          <w:szCs w:val="28"/>
        </w:rPr>
        <w:t>Biuret</w:t>
      </w:r>
      <w:proofErr w:type="spellEnd"/>
      <w:r w:rsidRPr="0076737C">
        <w:rPr>
          <w:b/>
          <w:sz w:val="28"/>
          <w:szCs w:val="28"/>
        </w:rPr>
        <w:t>-Probe</w:t>
      </w:r>
      <w:r>
        <w:rPr>
          <w:b/>
          <w:sz w:val="28"/>
          <w:szCs w:val="28"/>
        </w:rPr>
        <w:t xml:space="preserve"> </w:t>
      </w:r>
    </w:p>
    <w:p w:rsidR="00154FF9" w:rsidRDefault="00154FF9" w:rsidP="00B23262">
      <w:pPr>
        <w:jc w:val="both"/>
      </w:pPr>
    </w:p>
    <w:p w:rsidR="00154FF9" w:rsidRPr="0018784D" w:rsidRDefault="00154FF9" w:rsidP="00B23262">
      <w:pPr>
        <w:rPr>
          <w:b/>
        </w:rPr>
      </w:pPr>
      <w:r w:rsidRPr="0018784D">
        <w:rPr>
          <w:b/>
        </w:rPr>
        <w:t>Material:</w:t>
      </w:r>
    </w:p>
    <w:p w:rsidR="00154FF9" w:rsidRDefault="00154FF9" w:rsidP="00B23262">
      <w:r>
        <w:t>Reagenzglas</w:t>
      </w:r>
      <w:r>
        <w:br/>
        <w:t>Reagenzglashalter</w:t>
      </w:r>
      <w:r>
        <w:br/>
        <w:t>Messpipette</w:t>
      </w:r>
    </w:p>
    <w:p w:rsidR="00154FF9" w:rsidRDefault="00154FF9" w:rsidP="00B23262">
      <w:r>
        <w:t>Natronlauge (10%-</w:t>
      </w:r>
      <w:proofErr w:type="spellStart"/>
      <w:r>
        <w:t>ig</w:t>
      </w:r>
      <w:proofErr w:type="spellEnd"/>
      <w:r>
        <w:t>)</w:t>
      </w:r>
      <w:r>
        <w:br/>
      </w:r>
      <w:proofErr w:type="spellStart"/>
      <w:r>
        <w:t>Kupfersulfatlösung</w:t>
      </w:r>
      <w:proofErr w:type="spellEnd"/>
      <w:r>
        <w:t xml:space="preserve"> (7%-</w:t>
      </w:r>
      <w:proofErr w:type="spellStart"/>
      <w:r>
        <w:t>ig</w:t>
      </w:r>
      <w:proofErr w:type="spellEnd"/>
      <w:r>
        <w:t>) oder Fehling-I-Lösung</w:t>
      </w:r>
    </w:p>
    <w:p w:rsidR="00154FF9" w:rsidRDefault="00154FF9" w:rsidP="00B23262">
      <w:pPr>
        <w:jc w:val="both"/>
      </w:pPr>
    </w:p>
    <w:p w:rsidR="00154FF9" w:rsidRPr="0018784D" w:rsidRDefault="00154FF9" w:rsidP="00B23262">
      <w:pPr>
        <w:jc w:val="both"/>
        <w:rPr>
          <w:b/>
        </w:rPr>
      </w:pPr>
      <w:r w:rsidRPr="0018784D">
        <w:rPr>
          <w:b/>
        </w:rPr>
        <w:t>Durchführung:</w:t>
      </w:r>
    </w:p>
    <w:p w:rsidR="00154FF9" w:rsidRDefault="00154FF9" w:rsidP="00B23262">
      <w:pPr>
        <w:jc w:val="both"/>
      </w:pPr>
      <w:r>
        <w:t xml:space="preserve">Im Reagenzglas werden 3 ml der Probe mit 3 ml Natronlauge versetzt. Anschließend werden 4 Tropfen Kupfersulfat-Lösung hinzugegeben und vermischt. </w:t>
      </w:r>
      <w:r w:rsidR="007204D6">
        <w:t xml:space="preserve">Bei positivem Nachweis </w:t>
      </w:r>
      <w:r>
        <w:t xml:space="preserve">entsteht eine dunkle, violette Färbung. </w:t>
      </w:r>
    </w:p>
    <w:p w:rsidR="00154FF9" w:rsidRDefault="00154FF9" w:rsidP="00B23262">
      <w:pPr>
        <w:keepNext/>
        <w:jc w:val="center"/>
      </w:pPr>
      <w:r>
        <w:rPr>
          <w:noProof/>
          <w:lang w:val="de-AT" w:eastAsia="de-AT"/>
        </w:rPr>
        <w:drawing>
          <wp:inline distT="0" distB="0" distL="0" distR="0" wp14:anchorId="791CC491" wp14:editId="5FADF3BF">
            <wp:extent cx="2048256" cy="223446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px-Biuret_Test.sv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91" cy="22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F9" w:rsidRDefault="00154FF9" w:rsidP="00B23262">
      <w:pPr>
        <w:pStyle w:val="Beschriftung"/>
        <w:jc w:val="both"/>
      </w:pPr>
      <w:r>
        <w:t xml:space="preserve">Abbildung </w:t>
      </w:r>
      <w:r>
        <w:rPr>
          <w:noProof/>
        </w:rPr>
        <w:fldChar w:fldCharType="begin"/>
      </w:r>
      <w:r>
        <w:rPr>
          <w:noProof/>
        </w:rPr>
        <w:instrText xml:space="preserve"> SEQ Abbildung \* ARABIC </w:instrText>
      </w:r>
      <w:r>
        <w:rPr>
          <w:noProof/>
        </w:rPr>
        <w:fldChar w:fldCharType="separate"/>
      </w:r>
      <w:r w:rsidR="0041351F">
        <w:rPr>
          <w:noProof/>
        </w:rPr>
        <w:t>8</w:t>
      </w:r>
      <w:r>
        <w:rPr>
          <w:noProof/>
        </w:rPr>
        <w:fldChar w:fldCharType="end"/>
      </w:r>
      <w:r>
        <w:t xml:space="preserve">: Entstehender violetter Farbkomplex bei der </w:t>
      </w:r>
      <w:proofErr w:type="spellStart"/>
      <w:r>
        <w:t>Biuret</w:t>
      </w:r>
      <w:proofErr w:type="spellEnd"/>
      <w:r>
        <w:t>-Reaktion</w:t>
      </w:r>
      <w:r w:rsidR="0003221B">
        <w:t xml:space="preserve"> zum Nachweis von Proteinen</w:t>
      </w:r>
    </w:p>
    <w:p w:rsidR="00154FF9" w:rsidRDefault="00154FF9" w:rsidP="00B23262"/>
    <w:p w:rsidR="00154FF9" w:rsidRDefault="00154FF9" w:rsidP="00B23262">
      <w:pPr>
        <w:keepNext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2F6CD701" wp14:editId="7D811B6C">
            <wp:extent cx="2961953" cy="3195637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itiver und negativer Nachwei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0" b="22096"/>
                    <a:stretch/>
                  </pic:blipFill>
                  <pic:spPr bwMode="auto">
                    <a:xfrm>
                      <a:off x="0" y="0"/>
                      <a:ext cx="2966459" cy="320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FF9" w:rsidRDefault="00154FF9" w:rsidP="00B23262">
      <w:pPr>
        <w:pStyle w:val="Beschriftung"/>
        <w:jc w:val="center"/>
      </w:pPr>
      <w:r>
        <w:t xml:space="preserve">Abbildung </w:t>
      </w:r>
      <w:r>
        <w:rPr>
          <w:noProof/>
        </w:rPr>
        <w:fldChar w:fldCharType="begin"/>
      </w:r>
      <w:r>
        <w:rPr>
          <w:noProof/>
        </w:rPr>
        <w:instrText xml:space="preserve"> SEQ Abbildung \* ARABIC </w:instrText>
      </w:r>
      <w:r>
        <w:rPr>
          <w:noProof/>
        </w:rPr>
        <w:fldChar w:fldCharType="separate"/>
      </w:r>
      <w:r w:rsidR="0041351F">
        <w:rPr>
          <w:noProof/>
        </w:rPr>
        <w:t>9</w:t>
      </w:r>
      <w:r>
        <w:rPr>
          <w:noProof/>
        </w:rPr>
        <w:fldChar w:fldCharType="end"/>
      </w:r>
      <w:r>
        <w:t xml:space="preserve">: positiver (links) und negativer </w:t>
      </w:r>
      <w:proofErr w:type="spellStart"/>
      <w:r>
        <w:t>Biuret</w:t>
      </w:r>
      <w:proofErr w:type="spellEnd"/>
      <w:r>
        <w:t>-Test</w:t>
      </w:r>
    </w:p>
    <w:p w:rsidR="00154FF9" w:rsidRDefault="00154FF9" w:rsidP="00B23262">
      <w:pPr>
        <w:rPr>
          <w:b/>
        </w:rPr>
      </w:pPr>
    </w:p>
    <w:p w:rsidR="00154FF9" w:rsidRPr="00F32758" w:rsidRDefault="00154FF9" w:rsidP="00B23262">
      <w:pPr>
        <w:rPr>
          <w:b/>
        </w:rPr>
      </w:pPr>
      <w:r w:rsidRPr="00F32758">
        <w:rPr>
          <w:b/>
        </w:rPr>
        <w:t xml:space="preserve">Entsorgung: </w:t>
      </w:r>
    </w:p>
    <w:p w:rsidR="00154FF9" w:rsidRPr="00F32758" w:rsidRDefault="00154FF9" w:rsidP="00B23262">
      <w:r>
        <w:t>Behälter für schwermetallhaltige Abfälle (wegen Kupfer-Ionen)</w:t>
      </w:r>
    </w:p>
    <w:p w:rsidR="00154FF9" w:rsidRPr="00CB146F" w:rsidRDefault="00154FF9" w:rsidP="00B23262">
      <w:pPr>
        <w:jc w:val="both"/>
      </w:pPr>
      <w:r w:rsidRPr="00CB146F">
        <w:br w:type="page"/>
      </w:r>
    </w:p>
    <w:p w:rsidR="00154FF9" w:rsidRPr="00670F80" w:rsidRDefault="00154FF9" w:rsidP="00B76B55">
      <w:pPr>
        <w:rPr>
          <w:b/>
          <w:sz w:val="28"/>
          <w:szCs w:val="28"/>
        </w:rPr>
      </w:pPr>
      <w:r w:rsidRPr="00670F80">
        <w:rPr>
          <w:b/>
          <w:sz w:val="28"/>
          <w:szCs w:val="28"/>
        </w:rPr>
        <w:lastRenderedPageBreak/>
        <w:t>Trennung und quantitative Bestimmung des Caseins</w:t>
      </w:r>
    </w:p>
    <w:p w:rsidR="00154FF9" w:rsidRPr="00670F80" w:rsidRDefault="00154FF9" w:rsidP="00B76B55">
      <w:pPr>
        <w:rPr>
          <w:b/>
        </w:rPr>
      </w:pPr>
      <w:r w:rsidRPr="00670F80">
        <w:rPr>
          <w:b/>
        </w:rPr>
        <w:t>Material:</w:t>
      </w:r>
    </w:p>
    <w:p w:rsidR="00154FF9" w:rsidRDefault="00154FF9" w:rsidP="00B76B55">
      <w:pPr>
        <w:spacing w:before="120" w:after="0" w:line="240" w:lineRule="auto"/>
      </w:pPr>
      <w:r>
        <w:t>Proteinshake</w:t>
      </w:r>
    </w:p>
    <w:p w:rsidR="00154FF9" w:rsidRDefault="00154FF9" w:rsidP="00B76B55">
      <w:pPr>
        <w:spacing w:after="0" w:line="240" w:lineRule="auto"/>
      </w:pPr>
      <w:r>
        <w:t>Essigessenz</w:t>
      </w:r>
    </w:p>
    <w:p w:rsidR="00154FF9" w:rsidRDefault="00154FF9" w:rsidP="00B76B55">
      <w:pPr>
        <w:spacing w:after="0" w:line="240" w:lineRule="auto"/>
      </w:pPr>
      <w:r>
        <w:t>Becherglas</w:t>
      </w:r>
    </w:p>
    <w:p w:rsidR="00154FF9" w:rsidRDefault="00154FF9" w:rsidP="00B76B55">
      <w:pPr>
        <w:spacing w:after="0" w:line="240" w:lineRule="auto"/>
      </w:pPr>
      <w:r>
        <w:t>Stoffwindel (als Filter) und Auffangbehälter</w:t>
      </w:r>
    </w:p>
    <w:p w:rsidR="00154FF9" w:rsidRDefault="00154FF9" w:rsidP="00B76B55">
      <w:pPr>
        <w:spacing w:after="0" w:line="240" w:lineRule="auto"/>
      </w:pPr>
      <w:r>
        <w:t>pH-Meter</w:t>
      </w:r>
    </w:p>
    <w:p w:rsidR="00154FF9" w:rsidRDefault="00154FF9" w:rsidP="00B76B55">
      <w:pPr>
        <w:spacing w:after="0" w:line="240" w:lineRule="auto"/>
      </w:pPr>
      <w:r>
        <w:t>Glasstab</w:t>
      </w:r>
    </w:p>
    <w:p w:rsidR="00154FF9" w:rsidRDefault="00154FF9" w:rsidP="00B76B55">
      <w:pPr>
        <w:spacing w:after="0" w:line="240" w:lineRule="auto"/>
      </w:pPr>
    </w:p>
    <w:p w:rsidR="00154FF9" w:rsidRPr="00670F80" w:rsidRDefault="00154FF9" w:rsidP="00B76B55">
      <w:pPr>
        <w:rPr>
          <w:b/>
        </w:rPr>
      </w:pPr>
      <w:r w:rsidRPr="00670F80">
        <w:rPr>
          <w:b/>
        </w:rPr>
        <w:t>Durchführung:</w:t>
      </w:r>
    </w:p>
    <w:p w:rsidR="00154FF9" w:rsidRDefault="00154FF9" w:rsidP="00B76B55">
      <w:pPr>
        <w:spacing w:after="0" w:line="240" w:lineRule="auto"/>
      </w:pPr>
      <w:r>
        <w:t xml:space="preserve">In einem Becherglas werden 100 ml des angerührten Proteinshakes geben. Unter Rühren wird Essigessenz hinzugeben bis der pH-Wert im Bereich von pH=4,6 liegt. Das Gemisch wird dann noch einige Minuten stehengelassen. Bereits jetzt ist eine deutliche Ausflockung erkennbar. </w:t>
      </w:r>
    </w:p>
    <w:p w:rsidR="00154FF9" w:rsidRDefault="00154FF9" w:rsidP="00B76B55">
      <w:pPr>
        <w:spacing w:after="0" w:line="240" w:lineRule="auto"/>
      </w:pPr>
    </w:p>
    <w:p w:rsidR="0041351F" w:rsidRDefault="00154FF9" w:rsidP="0041351F">
      <w:pPr>
        <w:keepNext/>
        <w:spacing w:after="0" w:line="240" w:lineRule="auto"/>
        <w:jc w:val="center"/>
      </w:pPr>
      <w:r>
        <w:rPr>
          <w:noProof/>
          <w:lang w:val="de-AT" w:eastAsia="de-AT"/>
        </w:rPr>
        <w:drawing>
          <wp:inline distT="0" distB="0" distL="0" distR="0">
            <wp:extent cx="2967038" cy="3240405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sgeflocktes Casei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1" r="36675"/>
                    <a:stretch/>
                  </pic:blipFill>
                  <pic:spPr bwMode="auto">
                    <a:xfrm>
                      <a:off x="0" y="0"/>
                      <a:ext cx="2967038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FF9" w:rsidRDefault="0041351F" w:rsidP="0041351F">
      <w:pPr>
        <w:pStyle w:val="Beschriftung"/>
        <w:jc w:val="center"/>
      </w:pPr>
      <w:r>
        <w:t xml:space="preserve">Abbildung </w:t>
      </w:r>
      <w:r w:rsidR="0076737C">
        <w:fldChar w:fldCharType="begin"/>
      </w:r>
      <w:r w:rsidR="0076737C">
        <w:instrText xml:space="preserve"> SEQ Abbildung \* ARABIC </w:instrText>
      </w:r>
      <w:r w:rsidR="0076737C">
        <w:fldChar w:fldCharType="separate"/>
      </w:r>
      <w:r>
        <w:rPr>
          <w:noProof/>
        </w:rPr>
        <w:t>10</w:t>
      </w:r>
      <w:r w:rsidR="0076737C">
        <w:rPr>
          <w:noProof/>
        </w:rPr>
        <w:fldChar w:fldCharType="end"/>
      </w:r>
      <w:r>
        <w:t>: Ausgeflocktes Casein</w:t>
      </w:r>
    </w:p>
    <w:p w:rsidR="00154FF9" w:rsidRDefault="00154FF9" w:rsidP="00B76B55">
      <w:pPr>
        <w:spacing w:after="0" w:line="240" w:lineRule="auto"/>
      </w:pPr>
    </w:p>
    <w:p w:rsidR="00154FF9" w:rsidRDefault="00154FF9" w:rsidP="00B76B55">
      <w:pPr>
        <w:spacing w:after="0" w:line="240" w:lineRule="auto"/>
      </w:pPr>
      <w:r>
        <w:t>Das ausgeflockte Casein wird anschließend mit Hilfe einer zurechtgeschnittenen Stoffwind</w:t>
      </w:r>
      <w:r w:rsidR="007204D6">
        <w:t>el abgetrennt (ein Filterpapier</w:t>
      </w:r>
      <w:r>
        <w:t xml:space="preserve"> ist zu fein und verstopft). </w:t>
      </w:r>
    </w:p>
    <w:p w:rsidR="00154FF9" w:rsidRDefault="00154FF9" w:rsidP="00B76B55">
      <w:pPr>
        <w:spacing w:after="0" w:line="240" w:lineRule="auto"/>
      </w:pPr>
    </w:p>
    <w:p w:rsidR="0041351F" w:rsidRDefault="00154FF9" w:rsidP="0041351F">
      <w:pPr>
        <w:keepNext/>
        <w:spacing w:after="0" w:line="240" w:lineRule="auto"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4872037" cy="5295900"/>
            <wp:effectExtent l="0" t="0" r="508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sein im Filt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9" r="4524" b="24407"/>
                    <a:stretch/>
                  </pic:blipFill>
                  <pic:spPr bwMode="auto">
                    <a:xfrm>
                      <a:off x="0" y="0"/>
                      <a:ext cx="4872037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FF9" w:rsidRDefault="0041351F" w:rsidP="0041351F">
      <w:pPr>
        <w:pStyle w:val="Beschriftung"/>
        <w:jc w:val="center"/>
      </w:pPr>
      <w:r>
        <w:t xml:space="preserve">Abbildung </w:t>
      </w:r>
      <w:r w:rsidR="0076737C">
        <w:fldChar w:fldCharType="begin"/>
      </w:r>
      <w:r w:rsidR="0076737C">
        <w:instrText xml:space="preserve"> SEQ Abbi</w:instrText>
      </w:r>
      <w:r w:rsidR="0076737C">
        <w:instrText xml:space="preserve">ldung \* ARABIC </w:instrText>
      </w:r>
      <w:r w:rsidR="0076737C">
        <w:fldChar w:fldCharType="separate"/>
      </w:r>
      <w:r>
        <w:rPr>
          <w:noProof/>
        </w:rPr>
        <w:t>11</w:t>
      </w:r>
      <w:r w:rsidR="0076737C">
        <w:rPr>
          <w:noProof/>
        </w:rPr>
        <w:fldChar w:fldCharType="end"/>
      </w:r>
      <w:r>
        <w:t>: Filtration durch eine Stoffwindel (</w:t>
      </w:r>
      <w:proofErr w:type="spellStart"/>
      <w:r>
        <w:t>türkis</w:t>
      </w:r>
      <w:proofErr w:type="spellEnd"/>
      <w:r>
        <w:t>)</w:t>
      </w:r>
    </w:p>
    <w:p w:rsidR="00154FF9" w:rsidRDefault="00154FF9" w:rsidP="00B76B55">
      <w:pPr>
        <w:spacing w:after="0" w:line="240" w:lineRule="auto"/>
      </w:pPr>
    </w:p>
    <w:p w:rsidR="00154FF9" w:rsidRDefault="00154FF9" w:rsidP="00B76B55">
      <w:pPr>
        <w:spacing w:after="0" w:line="240" w:lineRule="auto"/>
      </w:pPr>
      <w:r>
        <w:t xml:space="preserve">Das </w:t>
      </w:r>
      <w:r w:rsidRPr="00B76B55">
        <w:rPr>
          <w:b/>
        </w:rPr>
        <w:t>Filtrat</w:t>
      </w:r>
      <w:r>
        <w:t xml:space="preserve"> ist die Molke für den nächsten Nachweis</w:t>
      </w:r>
    </w:p>
    <w:p w:rsidR="00154FF9" w:rsidRDefault="00154FF9" w:rsidP="00B76B55">
      <w:pPr>
        <w:spacing w:after="0" w:line="240" w:lineRule="auto"/>
      </w:pPr>
    </w:p>
    <w:p w:rsidR="00154FF9" w:rsidRDefault="00154FF9" w:rsidP="00B76B55"/>
    <w:p w:rsidR="00154FF9" w:rsidRPr="00670F80" w:rsidRDefault="00154FF9" w:rsidP="00B76B55">
      <w:pPr>
        <w:rPr>
          <w:b/>
          <w:sz w:val="28"/>
          <w:szCs w:val="28"/>
        </w:rPr>
      </w:pPr>
      <w:r w:rsidRPr="00670F80">
        <w:rPr>
          <w:b/>
          <w:sz w:val="28"/>
          <w:szCs w:val="28"/>
        </w:rPr>
        <w:t>Trennung und quantitative Bestimmung des Molkeneiweiß</w:t>
      </w:r>
    </w:p>
    <w:p w:rsidR="00154FF9" w:rsidRPr="00670F80" w:rsidRDefault="00154FF9" w:rsidP="00B76B55">
      <w:pPr>
        <w:rPr>
          <w:b/>
        </w:rPr>
      </w:pPr>
      <w:r w:rsidRPr="00670F80">
        <w:rPr>
          <w:b/>
        </w:rPr>
        <w:t>Material:</w:t>
      </w:r>
    </w:p>
    <w:p w:rsidR="00154FF9" w:rsidRDefault="00154FF9" w:rsidP="00B76B55">
      <w:pPr>
        <w:spacing w:after="0" w:line="240" w:lineRule="auto"/>
      </w:pPr>
      <w:r>
        <w:t>Molke (Filtrat aus vorherigem Versuch)</w:t>
      </w:r>
    </w:p>
    <w:p w:rsidR="00154FF9" w:rsidRDefault="00154FF9" w:rsidP="00B76B55">
      <w:pPr>
        <w:spacing w:after="0" w:line="240" w:lineRule="auto"/>
      </w:pPr>
      <w:r>
        <w:t>Heizplatte</w:t>
      </w:r>
    </w:p>
    <w:p w:rsidR="00154FF9" w:rsidRDefault="00154FF9" w:rsidP="00B76B55">
      <w:pPr>
        <w:spacing w:after="0" w:line="240" w:lineRule="auto"/>
      </w:pPr>
      <w:r>
        <w:t>Becherglas</w:t>
      </w:r>
    </w:p>
    <w:p w:rsidR="00154FF9" w:rsidRDefault="00154FF9" w:rsidP="00B76B55">
      <w:pPr>
        <w:spacing w:after="0" w:line="240" w:lineRule="auto"/>
      </w:pPr>
      <w:r>
        <w:t>Glasstab</w:t>
      </w:r>
    </w:p>
    <w:p w:rsidR="00154FF9" w:rsidRDefault="00154FF9" w:rsidP="00B76B55">
      <w:pPr>
        <w:spacing w:after="0" w:line="240" w:lineRule="auto"/>
      </w:pPr>
    </w:p>
    <w:p w:rsidR="00154FF9" w:rsidRPr="00670F80" w:rsidRDefault="00154FF9" w:rsidP="00B76B55">
      <w:pPr>
        <w:rPr>
          <w:b/>
        </w:rPr>
      </w:pPr>
      <w:r w:rsidRPr="00670F80">
        <w:rPr>
          <w:b/>
        </w:rPr>
        <w:t>Durchführung:</w:t>
      </w:r>
    </w:p>
    <w:p w:rsidR="00154FF9" w:rsidRDefault="00154FF9" w:rsidP="00B76B55">
      <w:pPr>
        <w:spacing w:after="0" w:line="240" w:lineRule="auto"/>
      </w:pPr>
      <w:r>
        <w:t>Das Filtrat aus dem vorherigen Versuch wird in ein Becherglas geben und auf einer Heizplatte unter Rühren auf circa 60°C erhitzt.</w:t>
      </w:r>
    </w:p>
    <w:p w:rsidR="00154FF9" w:rsidRDefault="00154FF9" w:rsidP="00B76B55">
      <w:pPr>
        <w:spacing w:after="0" w:line="240" w:lineRule="auto"/>
      </w:pPr>
      <w:r>
        <w:t xml:space="preserve">Die Flüssigkeit und das ausgeflockte Eiweiße werden mit Hilfe eines Faltenfilters filtriert. </w:t>
      </w:r>
    </w:p>
    <w:p w:rsidR="00154FF9" w:rsidRDefault="00154FF9" w:rsidP="00670F80">
      <w:pPr>
        <w:spacing w:after="0" w:line="240" w:lineRule="auto"/>
      </w:pPr>
      <w:r>
        <w:lastRenderedPageBreak/>
        <w:t xml:space="preserve">Das Filtrat im Becherglas sollte nun kein Eiweiß mehr enthalten. Dies kann mit Hilfe der </w:t>
      </w:r>
      <w:proofErr w:type="spellStart"/>
      <w:r>
        <w:t>Biuretprobe</w:t>
      </w:r>
      <w:proofErr w:type="spellEnd"/>
      <w:r>
        <w:t xml:space="preserve"> getestet werden. </w:t>
      </w:r>
    </w:p>
    <w:p w:rsidR="00154FF9" w:rsidRDefault="00154FF9" w:rsidP="00B76B55">
      <w:pPr>
        <w:spacing w:after="0" w:line="240" w:lineRule="auto"/>
      </w:pPr>
    </w:p>
    <w:p w:rsidR="00154FF9" w:rsidRDefault="00154FF9" w:rsidP="00B76B55">
      <w:pPr>
        <w:spacing w:after="0" w:line="240" w:lineRule="auto"/>
      </w:pPr>
    </w:p>
    <w:p w:rsidR="0041351F" w:rsidRDefault="00154FF9" w:rsidP="0041351F">
      <w:pPr>
        <w:keepNext/>
        <w:spacing w:after="0" w:line="240" w:lineRule="auto"/>
        <w:jc w:val="center"/>
      </w:pPr>
      <w:r>
        <w:rPr>
          <w:noProof/>
          <w:lang w:val="de-AT" w:eastAsia="de-AT"/>
        </w:rPr>
        <w:drawing>
          <wp:inline distT="0" distB="0" distL="0" distR="0">
            <wp:extent cx="4700270" cy="2938462"/>
            <wp:effectExtent l="0" t="0" r="508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218_1156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r="13194" b="9312"/>
                    <a:stretch/>
                  </pic:blipFill>
                  <pic:spPr bwMode="auto">
                    <a:xfrm>
                      <a:off x="0" y="0"/>
                      <a:ext cx="4700588" cy="293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FF9" w:rsidRDefault="0041351F" w:rsidP="0041351F">
      <w:pPr>
        <w:pStyle w:val="Beschriftung"/>
        <w:jc w:val="center"/>
      </w:pPr>
      <w:r>
        <w:t xml:space="preserve">Abbildung </w:t>
      </w:r>
      <w:r w:rsidR="0076737C">
        <w:fldChar w:fldCharType="begin"/>
      </w:r>
      <w:r w:rsidR="0076737C">
        <w:instrText xml:space="preserve"> SEQ Abbildung \* ARABIC </w:instrText>
      </w:r>
      <w:r w:rsidR="0076737C">
        <w:fldChar w:fldCharType="separate"/>
      </w:r>
      <w:r>
        <w:rPr>
          <w:noProof/>
        </w:rPr>
        <w:t>12</w:t>
      </w:r>
      <w:r w:rsidR="0076737C">
        <w:rPr>
          <w:noProof/>
        </w:rPr>
        <w:fldChar w:fldCharType="end"/>
      </w:r>
      <w:r>
        <w:t>: Zwei Proteinshakes im Vergleich. Links ein Proteinshake aus Molkenproteinen, rechts eine Mischung aus Molkenprotein und Casein</w:t>
      </w:r>
    </w:p>
    <w:p w:rsidR="00154FF9" w:rsidRDefault="00154FF9" w:rsidP="008B7DAE">
      <w:pPr>
        <w:jc w:val="both"/>
      </w:pPr>
    </w:p>
    <w:p w:rsidR="00154FF9" w:rsidRDefault="00154FF9" w:rsidP="008B7DAE">
      <w:pPr>
        <w:jc w:val="both"/>
        <w:sectPr w:rsidR="00154FF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154FF9" w:rsidRPr="00B76B55" w:rsidRDefault="00154FF9" w:rsidP="008B7DAE">
      <w:pPr>
        <w:jc w:val="both"/>
        <w:rPr>
          <w:b/>
          <w:sz w:val="32"/>
          <w:szCs w:val="32"/>
        </w:rPr>
      </w:pPr>
      <w:r w:rsidRPr="00B76B55">
        <w:rPr>
          <w:b/>
          <w:sz w:val="32"/>
          <w:szCs w:val="32"/>
        </w:rPr>
        <w:lastRenderedPageBreak/>
        <w:t>Übersicht über fachdidaktische Literatur zur Chemie der Ernährung und Nahrungsergänzungsmitteln</w:t>
      </w:r>
    </w:p>
    <w:p w:rsidR="00154FF9" w:rsidRDefault="00154FF9" w:rsidP="008B7DAE">
      <w:pPr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3827"/>
        <w:gridCol w:w="2725"/>
      </w:tblGrid>
      <w:tr w:rsidR="00154FF9" w:rsidTr="00E17E47">
        <w:tc>
          <w:tcPr>
            <w:tcW w:w="2660" w:type="dxa"/>
            <w:tcBorders>
              <w:bottom w:val="single" w:sz="4" w:space="0" w:color="auto"/>
            </w:tcBorders>
          </w:tcPr>
          <w:p w:rsidR="00154FF9" w:rsidRPr="00E17E47" w:rsidRDefault="00154FF9" w:rsidP="008B7DAE">
            <w:pPr>
              <w:jc w:val="both"/>
              <w:rPr>
                <w:b/>
              </w:rPr>
            </w:pPr>
            <w:r w:rsidRPr="00E17E47">
              <w:rPr>
                <w:b/>
              </w:rPr>
              <w:t>Thema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154FF9" w:rsidRPr="00E17E47" w:rsidRDefault="00154FF9" w:rsidP="008B7DAE">
            <w:pPr>
              <w:jc w:val="both"/>
              <w:rPr>
                <w:b/>
              </w:rPr>
            </w:pPr>
            <w:r w:rsidRPr="00E17E47">
              <w:rPr>
                <w:b/>
              </w:rPr>
              <w:t>Fachdidaktische Literaturquellen</w:t>
            </w:r>
          </w:p>
        </w:tc>
        <w:tc>
          <w:tcPr>
            <w:tcW w:w="2725" w:type="dxa"/>
            <w:tcBorders>
              <w:bottom w:val="single" w:sz="4" w:space="0" w:color="auto"/>
            </w:tcBorders>
          </w:tcPr>
          <w:p w:rsidR="00154FF9" w:rsidRPr="00E17E47" w:rsidRDefault="00154FF9" w:rsidP="008B7DAE">
            <w:pPr>
              <w:jc w:val="both"/>
              <w:rPr>
                <w:b/>
              </w:rPr>
            </w:pPr>
            <w:r w:rsidRPr="00E17E47">
              <w:rPr>
                <w:b/>
              </w:rPr>
              <w:t>Bemerkung</w:t>
            </w:r>
          </w:p>
        </w:tc>
      </w:tr>
      <w:tr w:rsidR="00154FF9" w:rsidTr="00E17E47">
        <w:trPr>
          <w:trHeight w:hRule="exact" w:val="57"/>
        </w:trPr>
        <w:tc>
          <w:tcPr>
            <w:tcW w:w="2660" w:type="dxa"/>
            <w:tcBorders>
              <w:left w:val="nil"/>
              <w:right w:val="nil"/>
            </w:tcBorders>
          </w:tcPr>
          <w:p w:rsidR="00154FF9" w:rsidRDefault="00154FF9" w:rsidP="008B7DAE">
            <w:pPr>
              <w:jc w:val="both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:rsidR="00154FF9" w:rsidRDefault="00154FF9" w:rsidP="008B7DAE">
            <w:pPr>
              <w:jc w:val="both"/>
            </w:pPr>
          </w:p>
        </w:tc>
        <w:tc>
          <w:tcPr>
            <w:tcW w:w="2725" w:type="dxa"/>
            <w:tcBorders>
              <w:left w:val="nil"/>
              <w:right w:val="nil"/>
            </w:tcBorders>
          </w:tcPr>
          <w:p w:rsidR="00154FF9" w:rsidRDefault="00154FF9" w:rsidP="008B7DAE">
            <w:pPr>
              <w:jc w:val="both"/>
            </w:pPr>
          </w:p>
        </w:tc>
      </w:tr>
      <w:tr w:rsidR="00154FF9" w:rsidTr="00323665">
        <w:tc>
          <w:tcPr>
            <w:tcW w:w="9212" w:type="dxa"/>
            <w:gridSpan w:val="3"/>
            <w:shd w:val="clear" w:color="auto" w:fill="A6A6A6" w:themeFill="background1" w:themeFillShade="A6"/>
          </w:tcPr>
          <w:p w:rsidR="00154FF9" w:rsidRPr="00F3184B" w:rsidRDefault="00154FF9" w:rsidP="008B7DA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Ernährung allgemein</w:t>
            </w: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E17E47" w:rsidRDefault="00154FF9" w:rsidP="008E193E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Proske, W., Röder, J.,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Wiskamp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V. (2002). Chemische Aspekte einer Ernährungsberatung.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51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(5), 23-26.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DB4D4A" w:rsidRDefault="00154FF9" w:rsidP="008E193E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Senkpiel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F., &amp; Pietzner, V. (2008). Nahrungsbausteine. </w:t>
            </w:r>
            <w:r w:rsidRPr="00232963">
              <w:rPr>
                <w:rFonts w:ascii="Segoe UI" w:hAnsi="Segoe UI" w:cs="Segoe UI"/>
                <w:i/>
                <w:sz w:val="18"/>
                <w:szCs w:val="18"/>
              </w:rPr>
              <w:t>N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aturwissenschaften im Unterricht-Chemie, 103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18-21.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BE4FF6" w:rsidRDefault="00154FF9" w:rsidP="008E193E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Stübs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R. (1996). Die "7 Säulen" der Ernährung im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Chemienterricht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Chemie in  der Schule, 43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(7/8), 270-279.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8B7DAE">
            <w:pPr>
              <w:jc w:val="both"/>
            </w:pP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RPr="00F3184B" w:rsidTr="00323665">
        <w:tc>
          <w:tcPr>
            <w:tcW w:w="9212" w:type="dxa"/>
            <w:gridSpan w:val="3"/>
            <w:shd w:val="clear" w:color="auto" w:fill="A6A6A6" w:themeFill="background1" w:themeFillShade="A6"/>
          </w:tcPr>
          <w:p w:rsidR="00154FF9" w:rsidRPr="00F3184B" w:rsidRDefault="00154FF9" w:rsidP="008E193E">
            <w:pPr>
              <w:jc w:val="both"/>
              <w:rPr>
                <w:b/>
                <w:i/>
              </w:rPr>
            </w:pPr>
            <w:r w:rsidRPr="00F3184B">
              <w:rPr>
                <w:b/>
                <w:i/>
              </w:rPr>
              <w:t>Nahrungsergänzungsmittel</w:t>
            </w: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E17E47" w:rsidRDefault="00154FF9" w:rsidP="008E193E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Hülsmann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O., &amp; Hahn, A. (2006). Nahrungsergänzungsmittel im Sport.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55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(2), 11-16.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A91911" w:rsidRDefault="00154FF9" w:rsidP="008E193E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Beutel, S.,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Scheper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T. (2004).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Functional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Food - Lebensmittel mit Zusatznutzen.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53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(4), 8-10.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F3184B" w:rsidRDefault="00154FF9" w:rsidP="008E193E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Saborowski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J., Reiners, C. S., Fischer, M., &amp; Prechtl, M. (2005). Sportgetränke - Kooperatives Lernen im Experiment orientierten Gruppenpuzzle.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Naturwissenschaften im Unterricht-Chemie, 16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(88/89), 71-74.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8B7DAE">
            <w:pPr>
              <w:jc w:val="both"/>
            </w:pP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323665">
        <w:tc>
          <w:tcPr>
            <w:tcW w:w="9212" w:type="dxa"/>
            <w:gridSpan w:val="3"/>
            <w:shd w:val="clear" w:color="auto" w:fill="A6A6A6" w:themeFill="background1" w:themeFillShade="A6"/>
          </w:tcPr>
          <w:p w:rsidR="00154FF9" w:rsidRPr="00F3184B" w:rsidRDefault="00154FF9" w:rsidP="008B7DAE">
            <w:pPr>
              <w:jc w:val="both"/>
              <w:rPr>
                <w:b/>
                <w:i/>
              </w:rPr>
            </w:pPr>
            <w:r w:rsidRPr="00F3184B">
              <w:rPr>
                <w:b/>
                <w:i/>
              </w:rPr>
              <w:t>Vitamine</w:t>
            </w: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2E3C14" w:rsidRDefault="00154FF9" w:rsidP="002E3C14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 w:rsidRPr="002E3C14">
              <w:rPr>
                <w:rFonts w:ascii="Segoe UI" w:hAnsi="Segoe UI" w:cs="Segoe UI"/>
                <w:b/>
                <w:sz w:val="18"/>
                <w:szCs w:val="18"/>
              </w:rPr>
              <w:t>Themenheft</w:t>
            </w:r>
            <w:r w:rsidRPr="002E3C14">
              <w:rPr>
                <w:rFonts w:ascii="Segoe UI" w:hAnsi="Segoe UI" w:cs="Segoe UI"/>
                <w:sz w:val="18"/>
                <w:szCs w:val="18"/>
              </w:rPr>
              <w:t xml:space="preserve"> „Ascorbinsäure &amp; Co“ (7/2008), Praxis der Naturwissenschaften – Chemie in der Schule, 57(7).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7B64D2" w:rsidRDefault="00154FF9" w:rsidP="007B64D2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Wambach, H., &amp; Wambach-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Laicher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J. (2009). Vitamin C - Ein Multitalent, auch zur individuellen Diagnose und Förderung mit Unterstützung durch Infokarten.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58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(5), 37-43.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232963" w:rsidRDefault="00154FF9" w:rsidP="00232963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Bader, H. J., Drechsler, B.,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Salzner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J., &amp; Dogan, B. (2001). Vitamin C als Nahrungsergänzung und Arzneimittelbestandteil.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CHEMKON, 8</w:t>
            </w:r>
            <w:r>
              <w:rPr>
                <w:rFonts w:ascii="Segoe UI" w:hAnsi="Segoe UI" w:cs="Segoe UI"/>
                <w:sz w:val="18"/>
                <w:szCs w:val="18"/>
              </w:rPr>
              <w:t>(4), 187-192. doi:10.1002/ckon.200100003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RPr="00232963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232963" w:rsidRDefault="00154FF9" w:rsidP="00BE4FF6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de Vries, T. (2002). Vitamintabletten einmal anders. </w:t>
            </w:r>
            <w:r w:rsidRPr="00232963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CHEMKON, 9</w:t>
            </w:r>
            <w:r w:rsidRPr="00232963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(3), 144-146. </w:t>
            </w:r>
          </w:p>
        </w:tc>
        <w:tc>
          <w:tcPr>
            <w:tcW w:w="2725" w:type="dxa"/>
          </w:tcPr>
          <w:p w:rsidR="00154FF9" w:rsidRPr="00232963" w:rsidRDefault="00154FF9" w:rsidP="008B7DAE">
            <w:pPr>
              <w:jc w:val="both"/>
              <w:rPr>
                <w:lang w:val="en-US"/>
              </w:rPr>
            </w:pPr>
          </w:p>
        </w:tc>
      </w:tr>
      <w:tr w:rsidR="00154FF9" w:rsidRPr="00BE4FF6" w:rsidTr="00E17E47">
        <w:tc>
          <w:tcPr>
            <w:tcW w:w="2660" w:type="dxa"/>
          </w:tcPr>
          <w:p w:rsidR="00154FF9" w:rsidRPr="00232963" w:rsidRDefault="00154FF9" w:rsidP="00E17E47">
            <w:pPr>
              <w:rPr>
                <w:lang w:val="en-US"/>
              </w:rPr>
            </w:pPr>
          </w:p>
        </w:tc>
        <w:tc>
          <w:tcPr>
            <w:tcW w:w="3827" w:type="dxa"/>
          </w:tcPr>
          <w:p w:rsidR="00154FF9" w:rsidRPr="00BE4FF6" w:rsidRDefault="00154FF9" w:rsidP="00BE4FF6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Hermanns, J. (2007). Eine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Austellung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zum Thema Vitamine.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56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(2), 6-9. </w:t>
            </w:r>
          </w:p>
        </w:tc>
        <w:tc>
          <w:tcPr>
            <w:tcW w:w="2725" w:type="dxa"/>
          </w:tcPr>
          <w:p w:rsidR="00154FF9" w:rsidRPr="00BE4FF6" w:rsidRDefault="00154FF9" w:rsidP="008B7DAE">
            <w:pPr>
              <w:jc w:val="both"/>
            </w:pPr>
          </w:p>
        </w:tc>
      </w:tr>
      <w:tr w:rsidR="00154FF9" w:rsidRPr="00BE4FF6" w:rsidTr="00E17E47">
        <w:tc>
          <w:tcPr>
            <w:tcW w:w="2660" w:type="dxa"/>
          </w:tcPr>
          <w:p w:rsidR="00154FF9" w:rsidRPr="00BE4FF6" w:rsidRDefault="00154FF9" w:rsidP="00E17E47"/>
        </w:tc>
        <w:tc>
          <w:tcPr>
            <w:tcW w:w="3827" w:type="dxa"/>
          </w:tcPr>
          <w:p w:rsidR="00154FF9" w:rsidRPr="00BE4FF6" w:rsidRDefault="00154FF9" w:rsidP="00BE4FF6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Killeit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U. (1983). Vitamine - Eine Übersicht in Stichworten.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Naturwissenschaften im Unterricht-Chemie, 31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(5), 181-183. </w:t>
            </w:r>
          </w:p>
        </w:tc>
        <w:tc>
          <w:tcPr>
            <w:tcW w:w="2725" w:type="dxa"/>
          </w:tcPr>
          <w:p w:rsidR="00154FF9" w:rsidRPr="00BE4FF6" w:rsidRDefault="00154FF9" w:rsidP="008B7DAE">
            <w:pPr>
              <w:jc w:val="both"/>
            </w:pPr>
          </w:p>
        </w:tc>
      </w:tr>
      <w:tr w:rsidR="00154FF9" w:rsidRPr="00BE4FF6" w:rsidTr="00E17E47">
        <w:tc>
          <w:tcPr>
            <w:tcW w:w="2660" w:type="dxa"/>
          </w:tcPr>
          <w:p w:rsidR="00154FF9" w:rsidRPr="00BE4FF6" w:rsidRDefault="00154FF9" w:rsidP="00E17E47"/>
        </w:tc>
        <w:tc>
          <w:tcPr>
            <w:tcW w:w="3827" w:type="dxa"/>
          </w:tcPr>
          <w:p w:rsidR="00154FF9" w:rsidRPr="00BE4FF6" w:rsidRDefault="00154FF9" w:rsidP="00BE4FF6">
            <w:pPr>
              <w:tabs>
                <w:tab w:val="left" w:pos="1083"/>
              </w:tabs>
              <w:jc w:val="both"/>
            </w:pPr>
          </w:p>
        </w:tc>
        <w:tc>
          <w:tcPr>
            <w:tcW w:w="2725" w:type="dxa"/>
          </w:tcPr>
          <w:p w:rsidR="00154FF9" w:rsidRPr="00BE4FF6" w:rsidRDefault="00154FF9" w:rsidP="008B7DAE">
            <w:pPr>
              <w:jc w:val="both"/>
            </w:pPr>
          </w:p>
        </w:tc>
      </w:tr>
      <w:tr w:rsidR="00154FF9" w:rsidTr="00323665">
        <w:tc>
          <w:tcPr>
            <w:tcW w:w="9212" w:type="dxa"/>
            <w:gridSpan w:val="3"/>
            <w:shd w:val="clear" w:color="auto" w:fill="A6A6A6" w:themeFill="background1" w:themeFillShade="A6"/>
          </w:tcPr>
          <w:p w:rsidR="00154FF9" w:rsidRPr="00F3184B" w:rsidRDefault="00154FF9" w:rsidP="008B7DAE">
            <w:pPr>
              <w:jc w:val="both"/>
              <w:rPr>
                <w:b/>
                <w:i/>
              </w:rPr>
            </w:pPr>
            <w:r w:rsidRPr="00F3184B">
              <w:rPr>
                <w:b/>
                <w:i/>
              </w:rPr>
              <w:t>Proteine</w:t>
            </w: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7B64D2" w:rsidRDefault="00154FF9" w:rsidP="007B64D2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Heimann, R.,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Schuckmann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K. (2008). Proteine - Mehr als nur Nahrungsbestandteile.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57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(8), 47-49.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  <w:r>
              <w:t>Allgemein über Proteine</w:t>
            </w: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2E3C14" w:rsidRDefault="00154FF9" w:rsidP="002E3C14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 w:rsidRPr="002E3C14">
              <w:rPr>
                <w:rFonts w:ascii="Segoe UI" w:hAnsi="Segoe UI" w:cs="Segoe UI"/>
                <w:b/>
                <w:sz w:val="18"/>
                <w:szCs w:val="18"/>
              </w:rPr>
              <w:t>Themenheft</w:t>
            </w:r>
            <w:r w:rsidRPr="002E3C14">
              <w:rPr>
                <w:rFonts w:ascii="Segoe UI" w:hAnsi="Segoe UI" w:cs="Segoe UI"/>
                <w:sz w:val="18"/>
                <w:szCs w:val="18"/>
              </w:rPr>
              <w:t xml:space="preserve"> „Vom Protein zur Aminosäure“ (2/2011), Praxis der Naturwissenschaften – Chemie in der Schule, 60(2).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090113" w:rsidRDefault="00154FF9" w:rsidP="00090113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Irmer, E. (2011). Vom Protein zur Aminosäure - Eine Unterrichtseinheit für die Sekundarstufe II.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60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(2), 20-23.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090113" w:rsidRDefault="00154FF9" w:rsidP="00090113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Dittmer, M. (2011). Proteine - Fächerübergreifende Bezüge zum </w:t>
            </w:r>
            <w:r>
              <w:rPr>
                <w:rFonts w:ascii="Segoe UI" w:hAnsi="Segoe UI" w:cs="Segoe UI"/>
                <w:sz w:val="18"/>
                <w:szCs w:val="18"/>
              </w:rPr>
              <w:lastRenderedPageBreak/>
              <w:t xml:space="preserve">Biologieunterricht.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60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(2), 27-30.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090113" w:rsidRDefault="00154FF9" w:rsidP="00090113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Leupold, S. (2011). Experimente zu Aminosäuren und Eiweißen.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60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(2), 31-34.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DB4D4A" w:rsidRDefault="00154FF9" w:rsidP="00DB4D4A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Hoppe, B., &amp; Martens, J. (1983). Aminosäuren – Bausteine des Lebens.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Chemie in unserer Zeit, 17</w:t>
            </w:r>
            <w:r>
              <w:rPr>
                <w:rFonts w:ascii="Segoe UI" w:hAnsi="Segoe UI" w:cs="Segoe UI"/>
                <w:sz w:val="18"/>
                <w:szCs w:val="18"/>
              </w:rPr>
              <w:t>(2), 41-53. doi:10.1002/ciuz.19830170203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DB4D4A" w:rsidRDefault="00154FF9" w:rsidP="00DB4D4A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Hoppe, B., &amp; Martens, J. (1984). Aminosäuren – Herstellung und Gewinnung.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Chemie in unserer Zeit, 18</w:t>
            </w:r>
            <w:r>
              <w:rPr>
                <w:rFonts w:ascii="Segoe UI" w:hAnsi="Segoe UI" w:cs="Segoe UI"/>
                <w:sz w:val="18"/>
                <w:szCs w:val="18"/>
              </w:rPr>
              <w:t>(3), 73-86. doi:10.1002/ciuz.19840180302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DB4D4A" w:rsidRDefault="00154FF9" w:rsidP="00DB4D4A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Wenck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H.,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Maerz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U. (1988). Ein neues biotechnologisches Verfahren zur Verwertung von Molke.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37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(3), 36-38.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DB4D4A" w:rsidRDefault="00154FF9" w:rsidP="00DB4D4A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Doltsinis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S.,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Andlauer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W. (2004). Alternativen zu tierischen Proteinen: Schlüsselkomponenten der Nahrung.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Chemie in unserer Zeit, 38</w:t>
            </w:r>
            <w:r>
              <w:rPr>
                <w:rFonts w:ascii="Segoe UI" w:hAnsi="Segoe UI" w:cs="Segoe UI"/>
                <w:sz w:val="18"/>
                <w:szCs w:val="18"/>
              </w:rPr>
              <w:t>(3), 182-189. doi:10.1002/ciuz.200400277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BA1BA3" w:rsidRDefault="00154FF9" w:rsidP="00BA1BA3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Schuckmann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K., &amp; Heimann, R. (2008). Den Proteinbausteinen auf der Spur.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57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(5), 45-48.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BE4FF6" w:rsidRDefault="00154FF9" w:rsidP="00BE4FF6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Sallatsch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I. (1983). Die Untersuchung von Milch. </w:t>
            </w:r>
            <w:r w:rsidRPr="00BE4FF6">
              <w:rPr>
                <w:rFonts w:ascii="Segoe UI" w:hAnsi="Segoe UI" w:cs="Segoe UI"/>
                <w:i/>
                <w:sz w:val="18"/>
                <w:szCs w:val="18"/>
              </w:rPr>
              <w:t>N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aturwissenschaften im Unterricht-Chemie, 31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(5), 159-161.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RPr="0076737C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85727F" w:rsidRDefault="00154FF9" w:rsidP="0085727F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  <w:lang w:val="en-US"/>
              </w:rPr>
            </w:pPr>
            <w:proofErr w:type="spellStart"/>
            <w:r w:rsidRPr="0085727F">
              <w:rPr>
                <w:rFonts w:ascii="Segoe UI" w:hAnsi="Segoe UI" w:cs="Segoe UI"/>
                <w:sz w:val="18"/>
                <w:szCs w:val="18"/>
                <w:lang w:val="en-US"/>
              </w:rPr>
              <w:t>Frerichs</w:t>
            </w:r>
            <w:proofErr w:type="spellEnd"/>
            <w:r w:rsidRPr="0085727F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, N., &amp; </w:t>
            </w:r>
            <w:proofErr w:type="spellStart"/>
            <w:r w:rsidRPr="0085727F">
              <w:rPr>
                <w:rFonts w:ascii="Segoe UI" w:hAnsi="Segoe UI" w:cs="Segoe UI"/>
                <w:sz w:val="18"/>
                <w:szCs w:val="18"/>
                <w:lang w:val="en-US"/>
              </w:rPr>
              <w:t>Eilks</w:t>
            </w:r>
            <w:proofErr w:type="spellEnd"/>
            <w:r w:rsidRPr="0085727F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, I. (2014). </w:t>
            </w:r>
            <w:r w:rsidRPr="0085727F">
              <w:rPr>
                <w:rFonts w:ascii="Segoe UI" w:hAnsi="Segoe UI" w:cs="Segoe UI"/>
                <w:i/>
                <w:iCs/>
                <w:sz w:val="18"/>
                <w:szCs w:val="18"/>
                <w:lang w:val="en-US"/>
              </w:rPr>
              <w:t>Learning with and about advertising in science education</w:t>
            </w:r>
            <w:r>
              <w:rPr>
                <w:rFonts w:ascii="Segoe UI" w:hAnsi="Segoe UI" w:cs="Segoe UI"/>
                <w:sz w:val="18"/>
                <w:szCs w:val="18"/>
                <w:lang w:val="en-US"/>
              </w:rPr>
              <w:t>.</w:t>
            </w:r>
          </w:p>
        </w:tc>
        <w:tc>
          <w:tcPr>
            <w:tcW w:w="2725" w:type="dxa"/>
          </w:tcPr>
          <w:p w:rsidR="00154FF9" w:rsidRPr="0085727F" w:rsidRDefault="00154FF9" w:rsidP="008B7DAE">
            <w:pPr>
              <w:jc w:val="both"/>
              <w:rPr>
                <w:lang w:val="en-US"/>
              </w:rPr>
            </w:pPr>
          </w:p>
        </w:tc>
      </w:tr>
      <w:tr w:rsidR="00154FF9" w:rsidRPr="0085727F" w:rsidTr="00E17E47">
        <w:tc>
          <w:tcPr>
            <w:tcW w:w="2660" w:type="dxa"/>
          </w:tcPr>
          <w:p w:rsidR="00154FF9" w:rsidRPr="005E4AA5" w:rsidRDefault="00154FF9" w:rsidP="00E17E47">
            <w:pPr>
              <w:rPr>
                <w:lang w:val="en-US"/>
              </w:rPr>
            </w:pPr>
          </w:p>
        </w:tc>
        <w:tc>
          <w:tcPr>
            <w:tcW w:w="3827" w:type="dxa"/>
          </w:tcPr>
          <w:p w:rsidR="00154FF9" w:rsidRPr="0085727F" w:rsidRDefault="00154FF9" w:rsidP="0085727F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85727F">
              <w:rPr>
                <w:rFonts w:ascii="Segoe UI" w:hAnsi="Segoe UI" w:cs="Segoe UI"/>
                <w:sz w:val="18"/>
                <w:szCs w:val="18"/>
              </w:rPr>
              <w:t>Belova</w:t>
            </w:r>
            <w:proofErr w:type="spellEnd"/>
            <w:r w:rsidRPr="0085727F">
              <w:rPr>
                <w:rFonts w:ascii="Segoe UI" w:hAnsi="Segoe UI" w:cs="Segoe UI"/>
                <w:sz w:val="18"/>
                <w:szCs w:val="18"/>
              </w:rPr>
              <w:t xml:space="preserve">, Nadja; </w:t>
            </w:r>
            <w:proofErr w:type="spellStart"/>
            <w:r w:rsidRPr="0085727F">
              <w:rPr>
                <w:rFonts w:ascii="Segoe UI" w:hAnsi="Segoe UI" w:cs="Segoe UI"/>
                <w:sz w:val="18"/>
                <w:szCs w:val="18"/>
              </w:rPr>
              <w:t>Affeldt</w:t>
            </w:r>
            <w:proofErr w:type="spellEnd"/>
            <w:r w:rsidRPr="0085727F">
              <w:rPr>
                <w:rFonts w:ascii="Segoe UI" w:hAnsi="Segoe UI" w:cs="Segoe UI"/>
                <w:sz w:val="18"/>
                <w:szCs w:val="18"/>
              </w:rPr>
              <w:t xml:space="preserve">, Fiona; </w:t>
            </w:r>
            <w:proofErr w:type="spellStart"/>
            <w:r w:rsidRPr="0085727F">
              <w:rPr>
                <w:rFonts w:ascii="Segoe UI" w:hAnsi="Segoe UI" w:cs="Segoe UI"/>
                <w:sz w:val="18"/>
                <w:szCs w:val="18"/>
              </w:rPr>
              <w:t>Eilks</w:t>
            </w:r>
            <w:proofErr w:type="spellEnd"/>
            <w:r w:rsidRPr="0085727F">
              <w:rPr>
                <w:rFonts w:ascii="Segoe UI" w:hAnsi="Segoe UI" w:cs="Segoe UI"/>
                <w:sz w:val="18"/>
                <w:szCs w:val="18"/>
              </w:rPr>
              <w:t>, Ingo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85727F">
              <w:rPr>
                <w:rFonts w:ascii="Segoe UI" w:hAnsi="Segoe UI" w:cs="Segoe UI"/>
                <w:sz w:val="18"/>
                <w:szCs w:val="18"/>
              </w:rPr>
              <w:t xml:space="preserve">(2015): Proteinshakes: Gesunde </w:t>
            </w:r>
            <w:proofErr w:type="spellStart"/>
            <w:r w:rsidRPr="0085727F">
              <w:rPr>
                <w:rFonts w:ascii="Segoe UI" w:hAnsi="Segoe UI" w:cs="Segoe UI"/>
                <w:sz w:val="18"/>
                <w:szCs w:val="18"/>
              </w:rPr>
              <w:t>Nahrungs</w:t>
            </w:r>
            <w:proofErr w:type="spellEnd"/>
            <w:r w:rsidRPr="0085727F">
              <w:rPr>
                <w:rFonts w:ascii="Segoe UI" w:hAnsi="Segoe UI" w:cs="Segoe UI"/>
                <w:sz w:val="18"/>
                <w:szCs w:val="18"/>
              </w:rPr>
              <w:t>(</w:t>
            </w:r>
            <w:proofErr w:type="spellStart"/>
            <w:r w:rsidRPr="0085727F">
              <w:rPr>
                <w:rFonts w:ascii="Segoe UI" w:hAnsi="Segoe UI" w:cs="Segoe UI"/>
                <w:sz w:val="18"/>
                <w:szCs w:val="18"/>
              </w:rPr>
              <w:t>ergänzungs</w:t>
            </w:r>
            <w:proofErr w:type="spellEnd"/>
            <w:r w:rsidRPr="0085727F">
              <w:rPr>
                <w:rFonts w:ascii="Segoe UI" w:hAnsi="Segoe UI" w:cs="Segoe UI"/>
                <w:sz w:val="18"/>
                <w:szCs w:val="18"/>
              </w:rPr>
              <w:t xml:space="preserve">)mittel? . In: </w:t>
            </w:r>
            <w:proofErr w:type="spellStart"/>
            <w:r w:rsidRPr="0085727F">
              <w:rPr>
                <w:rFonts w:ascii="Segoe UI" w:hAnsi="Segoe UI" w:cs="Segoe UI"/>
                <w:sz w:val="18"/>
                <w:szCs w:val="18"/>
              </w:rPr>
              <w:t>RAABits</w:t>
            </w:r>
            <w:proofErr w:type="spellEnd"/>
            <w:r w:rsidRPr="0085727F">
              <w:rPr>
                <w:rFonts w:ascii="Segoe UI" w:hAnsi="Segoe UI" w:cs="Segoe UI"/>
                <w:sz w:val="18"/>
                <w:szCs w:val="18"/>
              </w:rPr>
              <w:t xml:space="preserve"> Naturwissenschaften, Stuttgart: Raabe</w:t>
            </w:r>
            <w:r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  <w:tc>
          <w:tcPr>
            <w:tcW w:w="2725" w:type="dxa"/>
          </w:tcPr>
          <w:p w:rsidR="00154FF9" w:rsidRPr="0085727F" w:rsidRDefault="00154FF9" w:rsidP="005610D4">
            <w:pPr>
              <w:jc w:val="both"/>
            </w:pPr>
            <w:r>
              <w:t xml:space="preserve">Qualitative Proteinnachweise. Betrachtung des Themas mit speziellem Fokus auf Werbung. </w:t>
            </w:r>
          </w:p>
        </w:tc>
      </w:tr>
      <w:tr w:rsidR="00154FF9" w:rsidRPr="0085727F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85727F" w:rsidRDefault="00154FF9" w:rsidP="0085727F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25" w:type="dxa"/>
          </w:tcPr>
          <w:p w:rsidR="00154FF9" w:rsidRPr="0085727F" w:rsidRDefault="00154FF9" w:rsidP="008B7DAE">
            <w:pPr>
              <w:jc w:val="both"/>
            </w:pPr>
          </w:p>
        </w:tc>
      </w:tr>
      <w:tr w:rsidR="00154FF9" w:rsidTr="00323665">
        <w:tc>
          <w:tcPr>
            <w:tcW w:w="9212" w:type="dxa"/>
            <w:gridSpan w:val="3"/>
            <w:shd w:val="clear" w:color="auto" w:fill="A6A6A6" w:themeFill="background1" w:themeFillShade="A6"/>
          </w:tcPr>
          <w:p w:rsidR="00154FF9" w:rsidRPr="00F3184B" w:rsidRDefault="00154FF9" w:rsidP="008B7DAE">
            <w:pPr>
              <w:jc w:val="both"/>
              <w:rPr>
                <w:b/>
                <w:i/>
              </w:rPr>
            </w:pPr>
            <w:r w:rsidRPr="00F3184B">
              <w:rPr>
                <w:b/>
                <w:i/>
              </w:rPr>
              <w:lastRenderedPageBreak/>
              <w:t>Kreatin</w:t>
            </w:r>
            <w:r>
              <w:rPr>
                <w:b/>
                <w:i/>
              </w:rPr>
              <w:t>/Aminosäuren</w:t>
            </w: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D56963" w:rsidRDefault="00154FF9" w:rsidP="00D56963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 w:rsidRPr="005E4AA5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Smith, A. L., &amp; Tan, P. (2006). </w:t>
            </w:r>
            <w:proofErr w:type="spellStart"/>
            <w:r w:rsidRPr="005E4AA5">
              <w:rPr>
                <w:rFonts w:ascii="Segoe UI" w:hAnsi="Segoe UI" w:cs="Segoe UI"/>
                <w:sz w:val="18"/>
                <w:szCs w:val="18"/>
                <w:lang w:val="en-US"/>
              </w:rPr>
              <w:t>Creatine</w:t>
            </w:r>
            <w:proofErr w:type="spellEnd"/>
            <w:r w:rsidRPr="005E4AA5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 Synthesis: An Undergraduate </w:t>
            </w:r>
            <w:r w:rsidRPr="00D56963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Organic Chemistry Laboratory Experiment.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Journal </w:t>
            </w:r>
            <w:proofErr w:type="spellStart"/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of</w:t>
            </w:r>
            <w:proofErr w:type="spellEnd"/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Chemical Education, 83</w:t>
            </w:r>
            <w:r>
              <w:rPr>
                <w:rFonts w:ascii="Segoe UI" w:hAnsi="Segoe UI" w:cs="Segoe UI"/>
                <w:sz w:val="18"/>
                <w:szCs w:val="18"/>
              </w:rPr>
              <w:t>(11), 1654. doi:10.1021/ed083p1654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D05A0D" w:rsidRDefault="00154FF9" w:rsidP="00D05A0D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Proske, W.,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Wiskamp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V.,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Holfeld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M. (2003).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Carnitin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- Eine Aminosäure für die Verbrennung von Fetten.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Naturwissenschaften im Unterricht-Chemie, 14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(75), 37-39.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8B7DAE">
            <w:pPr>
              <w:jc w:val="both"/>
            </w:pP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323665">
        <w:tc>
          <w:tcPr>
            <w:tcW w:w="9212" w:type="dxa"/>
            <w:gridSpan w:val="3"/>
            <w:shd w:val="clear" w:color="auto" w:fill="A6A6A6" w:themeFill="background1" w:themeFillShade="A6"/>
          </w:tcPr>
          <w:p w:rsidR="00154FF9" w:rsidRDefault="00154FF9" w:rsidP="008B7DAE">
            <w:pPr>
              <w:jc w:val="both"/>
            </w:pPr>
            <w:r w:rsidRPr="00F3184B">
              <w:rPr>
                <w:b/>
                <w:i/>
              </w:rPr>
              <w:t>Kohlenhydrate</w:t>
            </w:r>
          </w:p>
        </w:tc>
      </w:tr>
      <w:tr w:rsidR="00154FF9" w:rsidTr="00E17E47">
        <w:tc>
          <w:tcPr>
            <w:tcW w:w="2660" w:type="dxa"/>
          </w:tcPr>
          <w:p w:rsidR="00154FF9" w:rsidRDefault="00154FF9" w:rsidP="008E193E"/>
        </w:tc>
        <w:tc>
          <w:tcPr>
            <w:tcW w:w="3827" w:type="dxa"/>
          </w:tcPr>
          <w:p w:rsidR="00154FF9" w:rsidRDefault="00154FF9" w:rsidP="008E193E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Fleiss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C. M. (2013). Kohlenhydrate im Chemieunterricht.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Plus Lucis, 1-2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40-41. </w:t>
            </w:r>
          </w:p>
        </w:tc>
        <w:tc>
          <w:tcPr>
            <w:tcW w:w="2725" w:type="dxa"/>
          </w:tcPr>
          <w:p w:rsidR="00154FF9" w:rsidRDefault="00154FF9" w:rsidP="008E193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8B7DAE">
            <w:pPr>
              <w:jc w:val="both"/>
            </w:pP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323665">
        <w:tc>
          <w:tcPr>
            <w:tcW w:w="9212" w:type="dxa"/>
            <w:gridSpan w:val="3"/>
            <w:shd w:val="clear" w:color="auto" w:fill="A6A6A6" w:themeFill="background1" w:themeFillShade="A6"/>
          </w:tcPr>
          <w:p w:rsidR="00154FF9" w:rsidRPr="00F3184B" w:rsidRDefault="00154FF9" w:rsidP="008B7DAE">
            <w:pPr>
              <w:jc w:val="both"/>
              <w:rPr>
                <w:b/>
                <w:i/>
              </w:rPr>
            </w:pPr>
            <w:r w:rsidRPr="00F3184B">
              <w:rPr>
                <w:b/>
                <w:i/>
              </w:rPr>
              <w:t>Chemie und Sport (allgemein)</w:t>
            </w: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Pr="00E17E47" w:rsidRDefault="00154FF9" w:rsidP="00783CDC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Holfeld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M. (2002). Chemie und Sport.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51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(5), 17-22.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783CDC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Holfeld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M.,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Gebelein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H.,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Wiskamp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V. (2005).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Chemie und Sport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. Köln: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Aulis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Verlag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Deubner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CF1892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323665">
        <w:tc>
          <w:tcPr>
            <w:tcW w:w="9212" w:type="dxa"/>
            <w:gridSpan w:val="3"/>
            <w:shd w:val="clear" w:color="auto" w:fill="A6A6A6" w:themeFill="background1" w:themeFillShade="A6"/>
          </w:tcPr>
          <w:p w:rsidR="00154FF9" w:rsidRPr="00F3184B" w:rsidRDefault="00154FF9" w:rsidP="008B7DAE">
            <w:pPr>
              <w:jc w:val="both"/>
              <w:rPr>
                <w:b/>
                <w:i/>
              </w:rPr>
            </w:pPr>
            <w:r w:rsidRPr="00F3184B">
              <w:rPr>
                <w:b/>
                <w:i/>
              </w:rPr>
              <w:t>Doping</w:t>
            </w: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BF49AF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Schänzer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W.,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Thevis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M. (2006). Doping-Analytik.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55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(2), 3-8.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A91911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Wiskamp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V.,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Holfeld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M. (2006). Ungewollt gedopt?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Praxis der Naturwissenschaften - Chemie in der Schule, 55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(2), 9-11. 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BA1BA3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Schänzer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W., &amp;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Thevis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M. (2004). Doping und Dopinganalytik: Wirkstoffe und Methoden.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Chemie in unserer Zeit, 38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(4), 230-241. </w:t>
            </w:r>
            <w:r>
              <w:rPr>
                <w:rFonts w:ascii="Segoe UI" w:hAnsi="Segoe UI" w:cs="Segoe UI"/>
                <w:sz w:val="18"/>
                <w:szCs w:val="18"/>
              </w:rPr>
              <w:lastRenderedPageBreak/>
              <w:t>doi:10.1002/ciuz.200400300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  <w:tr w:rsidR="00154FF9" w:rsidTr="00E17E47">
        <w:tc>
          <w:tcPr>
            <w:tcW w:w="2660" w:type="dxa"/>
          </w:tcPr>
          <w:p w:rsidR="00154FF9" w:rsidRDefault="00154FF9" w:rsidP="00E17E47"/>
        </w:tc>
        <w:tc>
          <w:tcPr>
            <w:tcW w:w="3827" w:type="dxa"/>
          </w:tcPr>
          <w:p w:rsidR="00154FF9" w:rsidRDefault="00154FF9" w:rsidP="00F3184B">
            <w:pPr>
              <w:autoSpaceDE w:val="0"/>
              <w:autoSpaceDN w:val="0"/>
              <w:adjustRightInd w:val="0"/>
              <w:ind w:left="720" w:hanging="720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Schänzer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, W. (1997). Doping und Dopinganalytik. 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>Chemie in unserer Zeit, 31</w:t>
            </w:r>
            <w:r>
              <w:rPr>
                <w:rFonts w:ascii="Segoe UI" w:hAnsi="Segoe UI" w:cs="Segoe UI"/>
                <w:sz w:val="18"/>
                <w:szCs w:val="18"/>
              </w:rPr>
              <w:t>(5), 218-228. doi:10.1002/ciuz.19970310503</w:t>
            </w:r>
          </w:p>
        </w:tc>
        <w:tc>
          <w:tcPr>
            <w:tcW w:w="2725" w:type="dxa"/>
          </w:tcPr>
          <w:p w:rsidR="00154FF9" w:rsidRDefault="00154FF9" w:rsidP="008B7DAE">
            <w:pPr>
              <w:jc w:val="both"/>
            </w:pPr>
          </w:p>
        </w:tc>
      </w:tr>
    </w:tbl>
    <w:p w:rsidR="00154FF9" w:rsidRDefault="00154FF9" w:rsidP="008B7DAE">
      <w:pPr>
        <w:jc w:val="both"/>
      </w:pPr>
    </w:p>
    <w:p w:rsidR="00724178" w:rsidRDefault="0076737C"/>
    <w:sectPr w:rsidR="007241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E97" w:rsidRDefault="009C5E97" w:rsidP="00154FF9">
      <w:pPr>
        <w:spacing w:after="0" w:line="240" w:lineRule="auto"/>
      </w:pPr>
      <w:r>
        <w:separator/>
      </w:r>
    </w:p>
  </w:endnote>
  <w:endnote w:type="continuationSeparator" w:id="0">
    <w:p w:rsidR="009C5E97" w:rsidRDefault="009C5E97" w:rsidP="00154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E97" w:rsidRDefault="009C5E97" w:rsidP="00154FF9">
      <w:pPr>
        <w:spacing w:after="0" w:line="240" w:lineRule="auto"/>
      </w:pPr>
      <w:r>
        <w:separator/>
      </w:r>
    </w:p>
  </w:footnote>
  <w:footnote w:type="continuationSeparator" w:id="0">
    <w:p w:rsidR="009C5E97" w:rsidRDefault="009C5E97" w:rsidP="00154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43A7C"/>
    <w:multiLevelType w:val="hybridMultilevel"/>
    <w:tmpl w:val="D1EE5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806B88"/>
    <w:multiLevelType w:val="hybridMultilevel"/>
    <w:tmpl w:val="FEC8FE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5E61DE"/>
    <w:multiLevelType w:val="hybridMultilevel"/>
    <w:tmpl w:val="7ADCA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54FF9"/>
    <w:rsid w:val="000045B6"/>
    <w:rsid w:val="0003221B"/>
    <w:rsid w:val="00074C0F"/>
    <w:rsid w:val="00154FF9"/>
    <w:rsid w:val="001F28C9"/>
    <w:rsid w:val="003734CF"/>
    <w:rsid w:val="003B1D39"/>
    <w:rsid w:val="003C0269"/>
    <w:rsid w:val="0041351F"/>
    <w:rsid w:val="007204D6"/>
    <w:rsid w:val="0076737C"/>
    <w:rsid w:val="009C5E97"/>
    <w:rsid w:val="00AA6E61"/>
    <w:rsid w:val="00C0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4FF9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154F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54FF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54FF9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154FF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154FF9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154FF9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154FF9"/>
    <w:rPr>
      <w:rFonts w:ascii="Calibri" w:hAnsi="Calibri" w:cs="Calibri"/>
      <w:noProof/>
      <w:lang w:val="en-US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54FF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54FF9"/>
    <w:rPr>
      <w:b/>
      <w:bCs/>
      <w:i/>
      <w:iCs/>
      <w:color w:val="5B9BD5" w:themeColor="accent1"/>
    </w:rPr>
  </w:style>
  <w:style w:type="table" w:styleId="Tabellenraster">
    <w:name w:val="Table Grid"/>
    <w:basedOn w:val="NormaleTabelle"/>
    <w:uiPriority w:val="59"/>
    <w:rsid w:val="0015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154FF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4FF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54FF9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54FF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154FF9"/>
    <w:rPr>
      <w:i/>
      <w:iCs/>
      <w:color w:val="000000" w:themeColor="tex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54FF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54FF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4FF9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154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FF9"/>
  </w:style>
  <w:style w:type="paragraph" w:styleId="Fuzeile">
    <w:name w:val="footer"/>
    <w:basedOn w:val="Standard"/>
    <w:link w:val="FuzeileZchn"/>
    <w:uiPriority w:val="99"/>
    <w:unhideWhenUsed/>
    <w:rsid w:val="00154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FF9"/>
  </w:style>
  <w:style w:type="character" w:styleId="BesuchterHyperlink">
    <w:name w:val="FollowedHyperlink"/>
    <w:basedOn w:val="Absatz-Standardschriftart"/>
    <w:uiPriority w:val="99"/>
    <w:semiHidden/>
    <w:unhideWhenUsed/>
    <w:rsid w:val="00154FF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4FF9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154F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54FF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54FF9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154FF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154FF9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154FF9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154FF9"/>
    <w:rPr>
      <w:rFonts w:ascii="Calibri" w:hAnsi="Calibri" w:cs="Calibri"/>
      <w:noProof/>
      <w:lang w:val="en-US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54FF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54FF9"/>
    <w:rPr>
      <w:b/>
      <w:bCs/>
      <w:i/>
      <w:iCs/>
      <w:color w:val="5B9BD5" w:themeColor="accent1"/>
    </w:rPr>
  </w:style>
  <w:style w:type="table" w:styleId="Tabellenraster">
    <w:name w:val="Table Grid"/>
    <w:basedOn w:val="NormaleTabelle"/>
    <w:uiPriority w:val="59"/>
    <w:rsid w:val="0015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154FF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4FF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54FF9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54FF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154FF9"/>
    <w:rPr>
      <w:i/>
      <w:iCs/>
      <w:color w:val="000000" w:themeColor="tex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54FF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54FF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4FF9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154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FF9"/>
  </w:style>
  <w:style w:type="paragraph" w:styleId="Fuzeile">
    <w:name w:val="footer"/>
    <w:basedOn w:val="Standard"/>
    <w:link w:val="FuzeileZchn"/>
    <w:uiPriority w:val="99"/>
    <w:unhideWhenUsed/>
    <w:rsid w:val="00154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FF9"/>
  </w:style>
  <w:style w:type="character" w:styleId="BesuchterHyperlink">
    <w:name w:val="FollowedHyperlink"/>
    <w:basedOn w:val="Absatz-Standardschriftart"/>
    <w:uiPriority w:val="99"/>
    <w:semiHidden/>
    <w:unhideWhenUsed/>
    <w:rsid w:val="00154F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1031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Wien</Company>
  <LinksUpToDate>false</LinksUpToDate>
  <CharactersWithSpaces>7515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Spitzer</dc:creator>
  <cp:lastModifiedBy>Christoph Luef</cp:lastModifiedBy>
  <cp:revision>2</cp:revision>
  <cp:lastPrinted>2019-01-07T15:18:00Z</cp:lastPrinted>
  <dcterms:created xsi:type="dcterms:W3CDTF">2019-01-17T12:11:00Z</dcterms:created>
  <dcterms:modified xsi:type="dcterms:W3CDTF">2019-01-17T12:11:00Z</dcterms:modified>
</cp:coreProperties>
</file>